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102" w:firstLine="0"/>
        <w:jc w:val="center"/>
        <w:rPr>
          <w:rFonts w:ascii="Arial" w:cs="Arial" w:eastAsia="Arial" w:hAnsi="Arial"/>
          <w:b w:val="1"/>
        </w:rPr>
      </w:pPr>
      <w:r w:rsidDel="00000000" w:rsidR="00000000" w:rsidRPr="00000000">
        <w:rPr>
          <w:rFonts w:ascii="Arial" w:cs="Arial" w:eastAsia="Arial" w:hAnsi="Arial"/>
          <w:b w:val="1"/>
          <w:vertAlign w:val="baseline"/>
          <w:rtl w:val="0"/>
        </w:rPr>
        <w:t xml:space="preserve">ATA </w:t>
      </w:r>
      <w:r w:rsidDel="00000000" w:rsidR="00000000" w:rsidRPr="00000000">
        <w:rPr>
          <w:rFonts w:ascii="Arial" w:cs="Arial" w:eastAsia="Arial" w:hAnsi="Arial"/>
          <w:b w:val="1"/>
          <w:rtl w:val="0"/>
        </w:rPr>
        <w:t xml:space="preserve">DA REUNIÃO</w:t>
      </w:r>
      <w:r w:rsidDel="00000000" w:rsidR="00000000" w:rsidRPr="00000000">
        <w:rPr>
          <w:rFonts w:ascii="Arial" w:cs="Arial" w:eastAsia="Arial" w:hAnsi="Arial"/>
          <w:b w:val="1"/>
          <w:vertAlign w:val="baseline"/>
          <w:rtl w:val="0"/>
        </w:rPr>
        <w:t xml:space="preserve"> ORDINÁRIA DO M</w:t>
      </w:r>
      <w:r w:rsidDel="00000000" w:rsidR="00000000" w:rsidRPr="00000000">
        <w:rPr>
          <w:rFonts w:ascii="Arial" w:cs="Arial" w:eastAsia="Arial" w:hAnsi="Arial"/>
          <w:b w:val="1"/>
          <w:rtl w:val="0"/>
        </w:rPr>
        <w:t xml:space="preserve">ÊS DE </w:t>
      </w:r>
      <w:r w:rsidDel="00000000" w:rsidR="00000000" w:rsidRPr="00000000">
        <w:rPr>
          <w:b w:val="1"/>
          <w:rtl w:val="0"/>
        </w:rPr>
        <w:t xml:space="preserve">AGOSTO DE 2024</w:t>
      </w:r>
      <w:r w:rsidDel="00000000" w:rsidR="00000000" w:rsidRPr="00000000">
        <w:rPr>
          <w:rtl w:val="0"/>
        </w:rPr>
      </w:r>
    </w:p>
    <w:p w:rsidR="00000000" w:rsidDel="00000000" w:rsidP="00000000" w:rsidRDefault="00000000" w:rsidRPr="00000000" w14:paraId="00000002">
      <w:pPr>
        <w:ind w:left="102" w:firstLine="0"/>
        <w:jc w:val="center"/>
        <w:rPr>
          <w:rFonts w:ascii="Arial" w:cs="Arial" w:eastAsia="Arial" w:hAnsi="Arial"/>
          <w:b w:val="1"/>
          <w:vertAlign w:val="baseline"/>
        </w:rPr>
      </w:pPr>
      <w:r w:rsidDel="00000000" w:rsidR="00000000" w:rsidRPr="00000000">
        <w:rPr>
          <w:rFonts w:ascii="Arial" w:cs="Arial" w:eastAsia="Arial" w:hAnsi="Arial"/>
          <w:b w:val="1"/>
          <w:vertAlign w:val="baseline"/>
          <w:rtl w:val="0"/>
        </w:rPr>
        <w:t xml:space="preserve">CONSELHO MUNICIPAL DE CULTURA</w:t>
      </w:r>
    </w:p>
    <w:p w:rsidR="00000000" w:rsidDel="00000000" w:rsidP="00000000" w:rsidRDefault="00000000" w:rsidRPr="00000000" w14:paraId="00000003">
      <w:pPr>
        <w:ind w:left="102" w:firstLine="618"/>
        <w:jc w:val="both"/>
        <w:rPr>
          <w:b w:val="1"/>
        </w:rPr>
      </w:pPr>
      <w:r w:rsidDel="00000000" w:rsidR="00000000" w:rsidRPr="00000000">
        <w:rPr>
          <w:rtl w:val="0"/>
        </w:rPr>
      </w:r>
    </w:p>
    <w:p w:rsidR="00000000" w:rsidDel="00000000" w:rsidP="00000000" w:rsidRDefault="00000000" w:rsidRPr="00000000" w14:paraId="00000004">
      <w:pPr>
        <w:ind w:left="102" w:firstLine="618"/>
        <w:jc w:val="both"/>
        <w:rPr>
          <w:b w:val="1"/>
        </w:rPr>
      </w:pPr>
      <w:r w:rsidDel="00000000" w:rsidR="00000000" w:rsidRPr="00000000">
        <w:rPr>
          <w:rtl w:val="0"/>
        </w:rPr>
      </w:r>
    </w:p>
    <w:p w:rsidR="00000000" w:rsidDel="00000000" w:rsidP="00000000" w:rsidRDefault="00000000" w:rsidRPr="00000000" w14:paraId="00000005">
      <w:pPr>
        <w:ind w:left="102" w:firstLine="61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Aos 11 de setembro de dois mil e vinte e quatro, teve início a reunião ordinária do Conselho Municipal de Cultura (CMC), realizada de forma online via Google Meet. A primeira chamada foi realizada às 19 horas e a segunda chamada às 19h15. Constatado o quórum necessário, a reunião foi iniciada após a segunda chamada.</w:t>
      </w:r>
    </w:p>
    <w:p w:rsidR="00000000" w:rsidDel="00000000" w:rsidP="00000000" w:rsidRDefault="00000000" w:rsidRPr="00000000" w14:paraId="00000006">
      <w:pPr>
        <w:ind w:left="102" w:firstLine="618"/>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7">
      <w:pPr>
        <w:ind w:left="102" w:firstLine="61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Estiveram presentes na reunião: Danilo Fabrette de Faria, Michele Vieira Paiva Cunha, Marcela Mantovani Teixeira, Natália A. C. Sauer Recco, Nathália Maria Novaes Victor, Sandro Luiz Moreira Carvalho, Getúlio Cesar Kater de Almeida, Leandro Diego de Andrade, Pedro Henrique Rubim Alves, Dimas Oliveira Júnior, Danillo Soledade Yared de Barros, Maike Vinícius Pereira, Weslley Richard Madona, Rosangela Candido Soares, Ronaldo Robles, Jonatan Augusto Gonçalves Cabral de Vasconcellos, Monique Reis Barreto, Nathalia Rocha Lobo, Ana Paula Vaz Boechat, Abraão Antunes da Silva, além dos convidados Fernando Paschoal de Oliveira, Secretário de Cultura e Economia Criativa, Renato Angelo, Angelo Rubim e Paula (Arte na Garagem).</w:t>
      </w:r>
    </w:p>
    <w:p w:rsidR="00000000" w:rsidDel="00000000" w:rsidP="00000000" w:rsidRDefault="00000000" w:rsidRPr="00000000" w14:paraId="00000008">
      <w:pPr>
        <w:ind w:left="102" w:firstLine="618"/>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9">
      <w:pPr>
        <w:ind w:left="102" w:firstLine="61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reunião se iniciou com a apresentação de Fernando Paschoal sobre a LOA 2025, que foi dividida em duas etapas. Após o término da primeira etapa, Fernando abriu para perguntas. Jonatan questionou sobre os valores referentes à internet e se essa verba poderia ser utilizada para a manutenção da rede (internet) do centro cultural. Fernando explicou que a manutenção é necessária, mas que esse valor é referente ao plano de dados contratado. Ângelo perguntou, após o término das obras da Villa Santo Aleixo, para quem ficaria a administração do prédio. Fernando respondeu que a intenção é abrir um chamamento público para permissão de uso por uma instituição cultural que tenha condições de manter as manutenções do prédio. Caso isso não ocorra, a administração ficará a cargo da Secretaria de Cultura, que, mesmo com a permissão de uso, não deixará o prédio desamparado.Nathalia Lobo perguntou sobre o aumento do pagamento dos bolsistas do Museu Histórico e Pedagógico Monteiro Lobato. Fernando respondeu que, durante sua gestão, conseguiram aumentar o valor de aproximadamente seiscentos reais para mil e trezentos reais, e que há, sim, a intenção de melhorar esse pagamento. Ana Paula Vaz Boechat questionou sobre eventos culturais religiosos, citando a Marcha para Jesus, e falou sobre a falta de abrangência das religiões afrodescendentes. Fernando explicou que, por meio da Lei Estadual 17.647/2023, a Marcha para Jesus foi reconhecida como patrimônio cultural de natureza imaterial do Estado de São Paulo. Danilo Barros questionou de onde vinha a verba de subsídio para esses eventos, e Fernando respondeu que os eventos em calendário oficial são financiados pela Secretaria de Cultura, e que alguns eventos são realizados por meio de emendas impositivas. Monique reforçou a necessidade de apoio às religiões de matriz africana, mencionando que as festas tradicionais são mais fáceis de conseguir apoio. Ela parabenizou Fernando, dizendo que percebe seu esforço em alcançar os objetivos e facilitar o acesso dos artistas. Monique também reforçou que o valor destinado à cultura é pouco em relação ao total arrecadado pela prefeitura e que seria importante regulamentar a lei de incentivo à cultura. </w:t>
      </w:r>
    </w:p>
    <w:p w:rsidR="00000000" w:rsidDel="00000000" w:rsidP="00000000" w:rsidRDefault="00000000" w:rsidRPr="00000000" w14:paraId="0000000A">
      <w:pPr>
        <w:ind w:left="102" w:firstLine="61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Ao término das falas, Fernando deu continuidade à apresentação e, ao final, abriu novamente para novos questionamentos. Ana Paula Vaz Boechat iniciou dizendo que sente falta de verba destinada às bibliotecas municipais, mencionando a necessidade de fomentar novos livros e projetos literários. Fernando justificou que a verba das bibliotecas está diluída entre o funcionamento de equipamentos culturais e a difusão cultural. Sandro perguntou se havia a possibilidade de considerar as metas da conferência de cultura ou se essas seriam efetivadas a partir do PPA. Fernando explicou que, como não houve um aumento significativo no orçamento, não foi possível destinar recursos diretamente para essas metas, que foram diluídas, mas que está sendo estudada a possibilidade de atender ao máximo de metas possíveis. Michelle Bessa falou sobre os museus e a preservação de acervos, destacando a falta de verba para materiais de manutenção e preservação, além de verbas para custear eventos realizados nos museus, como oficinas e mostras de arte. Fernando respondeu que, atualmente, é necessário remanejar verbas, pois os recursos estão diluídos entre todas as atividades. Angelo Rubim comentou sobre a repetição da emenda do Vicentinho do ano passado para este próximo ano. Fernando justificou que as emendas são expectativas de recebimento, pois dependem de convênios entre município e estado ou União, e passam por várias etapas, como a assinatura do termo e o empenho do valor, até o recebimento do recurso. Essas emendas não necessariamente precisam ser executadas durante o ano, podendo ser transferidas de um ano para o outro. Danilo Barros questionou o uso de verbas federais e estaduais para fomentar a cultura, mencionando que há pouca verba municipal. Fernando explicou que o sistema é semelhante ao do SUS, em que há repasses federais e estaduais para execução municipal, o que é uma tendência na administração pública. Nathalia Recco, pelo chat, perguntou se o Conselho de Patrimônio poderia participar da LOA 2025 e se seriam previstas verbas para manutenção do patrimônio. Fernando justificou que o prazo deste ano está apertado e que não houve tempo hábil para passar pelo Conselho de Patrimônio. Sobre as manutenções, Fernando mencionou que há um Plano Municipal de Preservação do Patrimônio Histórico e que prevê a criação de um fundo de patrimônio na câmara e que é possível angariar fundos por meio de emendas e parcerias. Encerrados os questionamentos, seguiu-se para a votação da LOA. </w:t>
      </w:r>
    </w:p>
    <w:p w:rsidR="00000000" w:rsidDel="00000000" w:rsidP="00000000" w:rsidRDefault="00000000" w:rsidRPr="00000000" w14:paraId="0000000B">
      <w:pPr>
        <w:ind w:left="102" w:firstLine="61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LOA 2025 foi aprovada com 12 votos a favor e 4 votos contrários. Após a votação, Danilo conduziu a aprovação da ata da reunião ordinária de 5 de agosto de 2024 e da ata da reunião extraordinária de 22 de agosto de 2024. Pedro destacou a impossibilidade de atender às pautas do dia, visto que o horário já havia se estendido, e reforçou a importância de se criar as comissões de leis e afins, além das Câmaras Temáticas de Patrimônio Histórico, Arquitetura e Urbanismo, e de Artes Cênicas. Jonathan Vasconcellos aproveitou para informar sobre uma possibilidade de diálogo com os alunos e profissionais da Escola Fêgo Camargo. Pedro também destacou a importância das redes do Conselho Municipal de Cultura. Leandro falou sobre o cronograma de postagens, e Natália Lobo solicitou que os membros do conselho contribuam com informações sobre eventos culturais no município.</w:t>
      </w:r>
    </w:p>
    <w:p w:rsidR="00000000" w:rsidDel="00000000" w:rsidP="00000000" w:rsidRDefault="00000000" w:rsidRPr="00000000" w14:paraId="0000000C">
      <w:pPr>
        <w:ind w:left="102" w:firstLine="618"/>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D">
      <w:pPr>
        <w:ind w:left="102" w:firstLine="61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Às 21 horas, não havendo mais inscritos para a fala, o presidente Pedro Rubim agradeceu a participação de todos e encerrou a reunião. Nada mais havendo a declarar, a presente ata foi lavrada por mim, Danilo Fabrette, primeiro secretário do Conselho.</w:t>
      </w:r>
    </w:p>
    <w:p w:rsidR="00000000" w:rsidDel="00000000" w:rsidP="00000000" w:rsidRDefault="00000000" w:rsidRPr="00000000" w14:paraId="0000000E">
      <w:pPr>
        <w:ind w:left="102" w:firstLine="618"/>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F">
      <w:pPr>
        <w:ind w:left="102" w:firstLine="618"/>
        <w:jc w:val="both"/>
        <w:rPr>
          <w:rFonts w:ascii="Times New Roman" w:cs="Times New Roman" w:eastAsia="Times New Roman" w:hAnsi="Times New Roman"/>
        </w:rPr>
        <w:sectPr>
          <w:headerReference r:id="rId7" w:type="default"/>
          <w:footerReference r:id="rId8" w:type="default"/>
          <w:pgSz w:h="16850" w:w="11910" w:orient="portrait"/>
          <w:pgMar w:bottom="850.3937007874016" w:top="1984.2519685039372" w:left="1598.740157480315" w:right="1581.732283464567" w:header="1133" w:footer="964"/>
          <w:pgNumType w:start="1"/>
        </w:sectPr>
      </w:pPr>
      <w:r w:rsidDel="00000000" w:rsidR="00000000" w:rsidRPr="00000000">
        <w:rPr>
          <w:rtl w:val="0"/>
        </w:rPr>
      </w:r>
    </w:p>
    <w:p w:rsidR="00000000" w:rsidDel="00000000" w:rsidP="00000000" w:rsidRDefault="00000000" w:rsidRPr="00000000" w14:paraId="00000010">
      <w:pPr>
        <w:spacing w:before="94" w:lineRule="auto"/>
        <w:ind w:left="0" w:right="21" w:firstLine="0"/>
        <w:rPr/>
      </w:pPr>
      <w:r w:rsidDel="00000000" w:rsidR="00000000" w:rsidRPr="00000000">
        <w:rPr>
          <w:rtl w:val="0"/>
        </w:rPr>
      </w:r>
    </w:p>
    <w:p w:rsidR="00000000" w:rsidDel="00000000" w:rsidP="00000000" w:rsidRDefault="00000000" w:rsidRPr="00000000" w14:paraId="00000011">
      <w:pPr>
        <w:spacing w:before="94" w:lineRule="auto"/>
        <w:ind w:left="0" w:right="21" w:firstLine="0"/>
        <w:jc w:val="center"/>
        <w:rPr>
          <w:b w:val="1"/>
          <w:vertAlign w:val="baseline"/>
        </w:rPr>
      </w:pPr>
      <w:r w:rsidDel="00000000" w:rsidR="00000000" w:rsidRPr="00000000">
        <w:rPr>
          <w:b w:val="1"/>
          <w:rtl w:val="0"/>
        </w:rPr>
        <w:t xml:space="preserve">Danilo Fabrette de Faria</w:t>
      </w:r>
      <w:r w:rsidDel="00000000" w:rsidR="00000000" w:rsidRPr="00000000">
        <w:rPr>
          <w:rtl w:val="0"/>
        </w:rPr>
      </w:r>
    </w:p>
    <w:p w:rsidR="00000000" w:rsidDel="00000000" w:rsidP="00000000" w:rsidRDefault="00000000" w:rsidRPr="00000000" w14:paraId="00000012">
      <w:pPr>
        <w:spacing w:before="94" w:lineRule="auto"/>
        <w:ind w:left="0" w:right="21" w:firstLine="0"/>
        <w:jc w:val="center"/>
        <w:rPr/>
      </w:pPr>
      <w:r w:rsidDel="00000000" w:rsidR="00000000" w:rsidRPr="00000000">
        <w:rPr>
          <w:vertAlign w:val="baseline"/>
          <w:rtl w:val="0"/>
        </w:rPr>
        <w:t xml:space="preserve">- </w:t>
      </w:r>
      <w:r w:rsidDel="00000000" w:rsidR="00000000" w:rsidRPr="00000000">
        <w:rPr>
          <w:rtl w:val="0"/>
        </w:rPr>
        <w:t xml:space="preserve">1º</w:t>
      </w:r>
      <w:r w:rsidDel="00000000" w:rsidR="00000000" w:rsidRPr="00000000">
        <w:rPr>
          <w:vertAlign w:val="baseline"/>
          <w:rtl w:val="0"/>
        </w:rPr>
        <w:t xml:space="preserve"> Secretári</w:t>
      </w:r>
      <w:r w:rsidDel="00000000" w:rsidR="00000000" w:rsidRPr="00000000">
        <w:rPr>
          <w:rtl w:val="0"/>
        </w:rPr>
        <w:t xml:space="preserve">o</w:t>
      </w:r>
      <w:r w:rsidDel="00000000" w:rsidR="00000000" w:rsidRPr="00000000">
        <w:rPr>
          <w:vertAlign w:val="baseline"/>
          <w:rtl w:val="0"/>
        </w:rPr>
        <w:t xml:space="preserve"> do CM</w:t>
      </w:r>
      <w:r w:rsidDel="00000000" w:rsidR="00000000" w:rsidRPr="00000000">
        <w:rPr>
          <w:rtl w:val="0"/>
        </w:rPr>
        <w:t xml:space="preserve">C - </w:t>
      </w:r>
    </w:p>
    <w:sectPr>
      <w:type w:val="continuous"/>
      <w:pgSz w:h="16850" w:w="11910" w:orient="portrait"/>
      <w:pgMar w:bottom="1160" w:top="3320" w:left="1600" w:right="158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5384800</wp:posOffset>
              </wp:positionH>
              <wp:positionV relativeFrom="paragraph">
                <wp:posOffset>9804400</wp:posOffset>
              </wp:positionV>
              <wp:extent cx="309245" cy="270510"/>
              <wp:effectExtent b="0" l="0" r="0" t="0"/>
              <wp:wrapNone/>
              <wp:docPr id="47" name=""/>
              <a:graphic>
                <a:graphicData uri="http://schemas.microsoft.com/office/word/2010/wordprocessingShape">
                  <wps:wsp>
                    <wps:cNvSpPr/>
                    <wps:cNvPr id="2" name="Shape 2"/>
                    <wps:spPr>
                      <a:xfrm>
                        <a:off x="5243765" y="3697133"/>
                        <a:ext cx="204470" cy="165735"/>
                      </a:xfrm>
                      <a:prstGeom prst="rect">
                        <a:avLst/>
                      </a:prstGeom>
                      <a:noFill/>
                      <a:ln>
                        <a:noFill/>
                      </a:ln>
                    </wps:spPr>
                    <wps:txbx>
                      <w:txbxContent>
                        <w:p w:rsidR="00000000" w:rsidDel="00000000" w:rsidP="00000000" w:rsidRDefault="00000000" w:rsidRPr="00000000">
                          <w:pPr>
                            <w:spacing w:after="0" w:before="10" w:line="240"/>
                            <w:ind w:left="60" w:right="0" w:firstLine="600"/>
                            <w:jc w:val="left"/>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 PAGE </w:t>
                          </w:r>
                          <w:r w:rsidDel="00000000" w:rsidR="00000000" w:rsidRPr="00000000">
                            <w:rPr>
                              <w:rFonts w:ascii="Arial" w:cs="Arial" w:eastAsia="Arial" w:hAnsi="Arial"/>
                              <w:b w:val="0"/>
                              <w:i w:val="0"/>
                              <w:smallCaps w:val="0"/>
                              <w:strike w:val="0"/>
                              <w:color w:val="000000"/>
                              <w:sz w:val="22"/>
                              <w:vertAlign w:val="baseline"/>
                            </w:rPr>
                            <w:t xml:space="preserve">10</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1" distB="0" distT="0" distL="0" distR="0" hidden="0" layoutInCell="1" locked="0" relativeHeight="0" simplePos="0">
              <wp:simplePos x="0" y="0"/>
              <wp:positionH relativeFrom="column">
                <wp:posOffset>5384800</wp:posOffset>
              </wp:positionH>
              <wp:positionV relativeFrom="paragraph">
                <wp:posOffset>9804400</wp:posOffset>
              </wp:positionV>
              <wp:extent cx="309245" cy="270510"/>
              <wp:effectExtent b="0" l="0" r="0" t="0"/>
              <wp:wrapNone/>
              <wp:docPr id="47"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309245" cy="27051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anchor allowOverlap="1" behindDoc="1" distB="0" distT="0" distL="0" distR="0" hidden="0" layoutInCell="1" locked="0" relativeHeight="0" simplePos="0">
          <wp:simplePos x="0" y="0"/>
          <wp:positionH relativeFrom="page">
            <wp:posOffset>3227070</wp:posOffset>
          </wp:positionH>
          <wp:positionV relativeFrom="page">
            <wp:posOffset>100330</wp:posOffset>
          </wp:positionV>
          <wp:extent cx="1316355" cy="1278255"/>
          <wp:effectExtent b="0" l="0" r="0" t="0"/>
          <wp:wrapNone/>
          <wp:docPr id="48" name="image1.png"/>
          <a:graphic>
            <a:graphicData uri="http://schemas.openxmlformats.org/drawingml/2006/picture">
              <pic:pic>
                <pic:nvPicPr>
                  <pic:cNvPr id="0" name="image1.png"/>
                  <pic:cNvPicPr preferRelativeResize="0"/>
                </pic:nvPicPr>
                <pic:blipFill>
                  <a:blip r:embed="rId1"/>
                  <a:srcRect b="0" l="5471" r="0" t="8207"/>
                  <a:stretch>
                    <a:fillRect/>
                  </a:stretch>
                </pic:blipFill>
                <pic:spPr>
                  <a:xfrm>
                    <a:off x="0" y="0"/>
                    <a:ext cx="1316355" cy="1278255"/>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BR"/>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EGdJLAXv1QBeXZcervFyPJjZQnw==">CgMxLjA4AHIhMWd4NThyYlRJemtwbUJHSlptdThNcGdYVjh0ZEZmR3hh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